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24B0" w14:textId="36784DB6" w:rsidR="00A9319B" w:rsidRPr="006757E3" w:rsidRDefault="00A9319B" w:rsidP="006757E3">
      <w:pPr>
        <w:rPr>
          <w:color w:val="FF0000"/>
          <w:lang w:eastAsia="en-US"/>
        </w:rPr>
      </w:pPr>
      <w:r>
        <w:rPr>
          <w:color w:val="FF0000"/>
          <w:lang w:eastAsia="en-US"/>
        </w:rPr>
        <w:t>On Behalf of Vaccination UK.</w:t>
      </w:r>
    </w:p>
    <w:p w14:paraId="02DC7F9E" w14:textId="77777777" w:rsidR="005B7E82" w:rsidRDefault="005B7E82" w:rsidP="006757E3">
      <w:pPr>
        <w:spacing w:after="200" w:line="300" w:lineRule="exact"/>
        <w:rPr>
          <w:rFonts w:cs="Arial"/>
          <w:lang w:eastAsia="en-US"/>
        </w:rPr>
      </w:pPr>
    </w:p>
    <w:p w14:paraId="5F9D1B41" w14:textId="64D60DCE" w:rsidR="006757E3" w:rsidRPr="006757E3" w:rsidRDefault="006757E3" w:rsidP="006757E3">
      <w:pPr>
        <w:spacing w:after="200" w:line="300" w:lineRule="exact"/>
        <w:rPr>
          <w:rFonts w:cs="Arial"/>
          <w:lang w:eastAsia="en-US"/>
        </w:rPr>
      </w:pPr>
      <w:r w:rsidRPr="006757E3">
        <w:rPr>
          <w:rFonts w:cs="Arial"/>
          <w:lang w:eastAsia="en-US"/>
        </w:rPr>
        <w:t xml:space="preserve">Dear </w:t>
      </w:r>
      <w:r w:rsidRPr="006757E3">
        <w:rPr>
          <w:rFonts w:cs="Arial"/>
          <w:color w:val="000000"/>
          <w:lang w:eastAsia="en-US"/>
        </w:rPr>
        <w:t>Colleague</w:t>
      </w:r>
      <w:r w:rsidRPr="006757E3">
        <w:rPr>
          <w:rFonts w:cs="Arial"/>
          <w:lang w:eastAsia="en-US"/>
        </w:rPr>
        <w:t>,</w:t>
      </w:r>
    </w:p>
    <w:p w14:paraId="292B731E" w14:textId="6CF35B22" w:rsidR="006757E3" w:rsidRPr="006757E3" w:rsidRDefault="006757E3" w:rsidP="006757E3">
      <w:pPr>
        <w:spacing w:after="200" w:line="300" w:lineRule="exact"/>
        <w:rPr>
          <w:b/>
          <w:color w:val="000000"/>
          <w:lang w:eastAsia="en-US"/>
        </w:rPr>
      </w:pPr>
      <w:r w:rsidRPr="006757E3">
        <w:rPr>
          <w:b/>
          <w:color w:val="000000"/>
          <w:lang w:eastAsia="en-US"/>
        </w:rPr>
        <w:t xml:space="preserve">Advice on the </w:t>
      </w:r>
      <w:r w:rsidR="00C8356D">
        <w:rPr>
          <w:b/>
          <w:color w:val="000000"/>
          <w:lang w:eastAsia="en-US"/>
        </w:rPr>
        <w:t xml:space="preserve">UK </w:t>
      </w:r>
      <w:r w:rsidRPr="006757E3">
        <w:rPr>
          <w:b/>
          <w:color w:val="000000"/>
          <w:lang w:eastAsia="en-US"/>
        </w:rPr>
        <w:t xml:space="preserve">Data Protection </w:t>
      </w:r>
      <w:r w:rsidR="00C8356D">
        <w:rPr>
          <w:b/>
          <w:color w:val="000000"/>
          <w:lang w:eastAsia="en-US"/>
        </w:rPr>
        <w:t xml:space="preserve">Legislation </w:t>
      </w:r>
      <w:r w:rsidRPr="006757E3">
        <w:rPr>
          <w:b/>
          <w:color w:val="000000"/>
          <w:lang w:eastAsia="en-US"/>
        </w:rPr>
        <w:t>and vaccinations in</w:t>
      </w:r>
      <w:r w:rsidR="00247C54">
        <w:rPr>
          <w:b/>
          <w:color w:val="000000"/>
          <w:lang w:eastAsia="en-US"/>
        </w:rPr>
        <w:t xml:space="preserve"> Primary and Secondary</w:t>
      </w:r>
      <w:r w:rsidRPr="006757E3">
        <w:rPr>
          <w:b/>
          <w:color w:val="000000"/>
          <w:lang w:eastAsia="en-US"/>
        </w:rPr>
        <w:t xml:space="preserve"> schools</w:t>
      </w:r>
    </w:p>
    <w:p w14:paraId="02EC0BF6" w14:textId="765B702D" w:rsidR="006757E3" w:rsidRPr="006757E3" w:rsidRDefault="006757E3" w:rsidP="006757E3">
      <w:pPr>
        <w:spacing w:after="200" w:line="300" w:lineRule="exact"/>
        <w:rPr>
          <w:color w:val="000000"/>
          <w:lang w:eastAsia="en-US"/>
        </w:rPr>
      </w:pPr>
      <w:r w:rsidRPr="006757E3">
        <w:rPr>
          <w:color w:val="000000"/>
          <w:lang w:eastAsia="en-US"/>
        </w:rPr>
        <w:t xml:space="preserve">This letter provides advice for secondary schools on the </w:t>
      </w:r>
      <w:r w:rsidR="00C8356D">
        <w:rPr>
          <w:color w:val="000000"/>
          <w:lang w:eastAsia="en-US"/>
        </w:rPr>
        <w:t xml:space="preserve">UK </w:t>
      </w:r>
      <w:r w:rsidRPr="006757E3">
        <w:rPr>
          <w:color w:val="000000"/>
          <w:lang w:eastAsia="en-US"/>
        </w:rPr>
        <w:t xml:space="preserve">Data Protection </w:t>
      </w:r>
      <w:proofErr w:type="gramStart"/>
      <w:r w:rsidR="00C8356D">
        <w:rPr>
          <w:color w:val="000000"/>
          <w:lang w:eastAsia="en-US"/>
        </w:rPr>
        <w:t>Legislation  which</w:t>
      </w:r>
      <w:proofErr w:type="gramEnd"/>
      <w:r w:rsidR="00C8356D">
        <w:rPr>
          <w:color w:val="000000"/>
          <w:lang w:eastAsia="en-US"/>
        </w:rPr>
        <w:t xml:space="preserve"> includes the UK General Data Protection Regulation (UK GDPR) and the Data Protection Act 2018 (DPA 2018) </w:t>
      </w:r>
      <w:r w:rsidRPr="006757E3">
        <w:rPr>
          <w:color w:val="000000"/>
          <w:lang w:eastAsia="en-US"/>
        </w:rPr>
        <w:t xml:space="preserve">and the use and sharing of young people’s personal information to support the national vaccination programmes. </w:t>
      </w:r>
    </w:p>
    <w:p w14:paraId="3493897A" w14:textId="5FE2DE9F" w:rsidR="006757E3" w:rsidRPr="006757E3" w:rsidRDefault="006757E3" w:rsidP="006757E3">
      <w:pPr>
        <w:spacing w:after="200" w:line="300" w:lineRule="exact"/>
        <w:rPr>
          <w:color w:val="000000"/>
          <w:lang w:eastAsia="en-US"/>
        </w:rPr>
      </w:pPr>
      <w:r w:rsidRPr="006757E3">
        <w:rPr>
          <w:color w:val="000000"/>
          <w:u w:val="single"/>
          <w:lang w:eastAsia="en-US"/>
        </w:rPr>
        <w:t xml:space="preserve">The key message is that </w:t>
      </w:r>
      <w:r w:rsidRPr="006757E3">
        <w:rPr>
          <w:b/>
          <w:color w:val="000000"/>
          <w:u w:val="single"/>
          <w:lang w:eastAsia="en-US"/>
        </w:rPr>
        <w:t>no change</w:t>
      </w:r>
      <w:r w:rsidRPr="006757E3">
        <w:rPr>
          <w:color w:val="000000"/>
          <w:u w:val="single"/>
          <w:lang w:eastAsia="en-US"/>
        </w:rPr>
        <w:t xml:space="preserve"> is needed to the current ways in which young people’s personal information is used and shared by schools for the purpose of vaccination for this to be lawful under the</w:t>
      </w:r>
      <w:r w:rsidR="00C8356D">
        <w:rPr>
          <w:color w:val="000000"/>
          <w:u w:val="single"/>
          <w:lang w:eastAsia="en-US"/>
        </w:rPr>
        <w:t xml:space="preserve"> UK GDPR and the DPA 2018</w:t>
      </w:r>
      <w:r w:rsidRPr="006757E3">
        <w:rPr>
          <w:color w:val="000000"/>
          <w:u w:val="single"/>
          <w:lang w:eastAsia="en-US"/>
        </w:rPr>
        <w:t>.</w:t>
      </w:r>
      <w:r w:rsidRPr="006757E3">
        <w:rPr>
          <w:color w:val="000000"/>
          <w:lang w:eastAsia="en-US"/>
        </w:rPr>
        <w:t xml:space="preserve"> </w:t>
      </w:r>
    </w:p>
    <w:p w14:paraId="1B0DCE23" w14:textId="77777777" w:rsidR="006757E3" w:rsidRPr="006757E3" w:rsidRDefault="006757E3" w:rsidP="006757E3">
      <w:pPr>
        <w:spacing w:after="200" w:line="300" w:lineRule="exact"/>
        <w:rPr>
          <w:color w:val="000000"/>
          <w:lang w:eastAsia="en-US"/>
        </w:rPr>
      </w:pPr>
      <w:r w:rsidRPr="006757E3">
        <w:rPr>
          <w:color w:val="000000"/>
          <w:lang w:eastAsia="en-US"/>
        </w:rPr>
        <w:t xml:space="preserve">A more detailed explanation is provided below. </w:t>
      </w:r>
    </w:p>
    <w:p w14:paraId="6997C8FE" w14:textId="77777777" w:rsidR="005B7E82" w:rsidRDefault="005B7E82" w:rsidP="006757E3">
      <w:pPr>
        <w:spacing w:after="200" w:line="300" w:lineRule="exact"/>
        <w:rPr>
          <w:b/>
          <w:color w:val="000000"/>
          <w:lang w:eastAsia="en-US"/>
        </w:rPr>
      </w:pPr>
    </w:p>
    <w:p w14:paraId="7BA9E3C3" w14:textId="72C779C7" w:rsidR="006757E3" w:rsidRPr="006757E3" w:rsidRDefault="006757E3" w:rsidP="006757E3">
      <w:pPr>
        <w:spacing w:after="200" w:line="300" w:lineRule="exact"/>
        <w:rPr>
          <w:color w:val="000000"/>
          <w:lang w:eastAsia="en-US"/>
        </w:rPr>
      </w:pPr>
      <w:r w:rsidRPr="006757E3">
        <w:rPr>
          <w:b/>
          <w:color w:val="000000"/>
          <w:lang w:eastAsia="en-US"/>
        </w:rPr>
        <w:t xml:space="preserve">About the Data Protection </w:t>
      </w:r>
      <w:r w:rsidR="00C8356D">
        <w:rPr>
          <w:b/>
          <w:color w:val="000000"/>
          <w:lang w:eastAsia="en-US"/>
        </w:rPr>
        <w:t>Legislation</w:t>
      </w:r>
    </w:p>
    <w:p w14:paraId="3F93A1E2" w14:textId="7C3041DF" w:rsidR="006757E3" w:rsidRPr="006757E3" w:rsidRDefault="006757E3" w:rsidP="006757E3">
      <w:pPr>
        <w:spacing w:after="200" w:line="300" w:lineRule="exact"/>
        <w:rPr>
          <w:color w:val="000000"/>
          <w:lang w:eastAsia="en-US"/>
        </w:rPr>
      </w:pPr>
      <w:r w:rsidRPr="006757E3">
        <w:rPr>
          <w:color w:val="000000"/>
          <w:lang w:eastAsia="en-US"/>
        </w:rPr>
        <w:t xml:space="preserve">The </w:t>
      </w:r>
      <w:r w:rsidR="00C8356D">
        <w:rPr>
          <w:color w:val="000000"/>
          <w:lang w:eastAsia="en-US"/>
        </w:rPr>
        <w:t xml:space="preserve">General Data Protection Regulation </w:t>
      </w:r>
      <w:r w:rsidR="00C8356D" w:rsidRPr="00C8356D">
        <w:rPr>
          <w:color w:val="000000"/>
          <w:lang w:eastAsia="en-US"/>
        </w:rPr>
        <w:t>(EU) 2016/679</w:t>
      </w:r>
      <w:r w:rsidR="00C8356D">
        <w:rPr>
          <w:color w:val="000000"/>
          <w:lang w:eastAsia="en-US"/>
        </w:rPr>
        <w:t xml:space="preserve"> (GDPR)</w:t>
      </w:r>
      <w:r w:rsidRPr="006757E3">
        <w:rPr>
          <w:color w:val="000000"/>
          <w:lang w:eastAsia="en-US"/>
        </w:rPr>
        <w:t xml:space="preserve"> became law on 25 May 2018</w:t>
      </w:r>
      <w:r w:rsidR="00C8356D">
        <w:rPr>
          <w:color w:val="000000"/>
          <w:lang w:eastAsia="en-US"/>
        </w:rPr>
        <w:t xml:space="preserve"> along with the DPA 2018</w:t>
      </w:r>
      <w:r w:rsidRPr="006757E3">
        <w:rPr>
          <w:color w:val="000000"/>
          <w:lang w:eastAsia="en-US"/>
        </w:rPr>
        <w:t>. It update</w:t>
      </w:r>
      <w:r w:rsidR="00C8356D">
        <w:rPr>
          <w:color w:val="000000"/>
          <w:lang w:eastAsia="en-US"/>
        </w:rPr>
        <w:t>d</w:t>
      </w:r>
      <w:r w:rsidRPr="006757E3">
        <w:rPr>
          <w:color w:val="000000"/>
          <w:lang w:eastAsia="en-US"/>
        </w:rPr>
        <w:t xml:space="preserve"> and strengthen</w:t>
      </w:r>
      <w:r w:rsidR="00C8356D">
        <w:rPr>
          <w:color w:val="000000"/>
          <w:lang w:eastAsia="en-US"/>
        </w:rPr>
        <w:t>ed</w:t>
      </w:r>
      <w:r w:rsidRPr="006757E3">
        <w:rPr>
          <w:color w:val="000000"/>
          <w:lang w:eastAsia="en-US"/>
        </w:rPr>
        <w:t xml:space="preserve"> the ways in which personal information is protected</w:t>
      </w:r>
      <w:r w:rsidRPr="006757E3">
        <w:rPr>
          <w:color w:val="000000"/>
          <w:vertAlign w:val="superscript"/>
          <w:lang w:eastAsia="en-US"/>
        </w:rPr>
        <w:footnoteReference w:id="1"/>
      </w:r>
      <w:r w:rsidRPr="006757E3">
        <w:rPr>
          <w:color w:val="000000"/>
          <w:lang w:eastAsia="en-US"/>
        </w:rPr>
        <w:t>.</w:t>
      </w:r>
      <w:r w:rsidR="00C8356D">
        <w:rPr>
          <w:color w:val="000000"/>
          <w:lang w:eastAsia="en-US"/>
        </w:rPr>
        <w:t xml:space="preserve"> Following the withdrawal of the UK from the European Union and the subsequent transition period, the GDPR was absorbed into UK law to become the UK GDPR</w:t>
      </w:r>
      <w:r w:rsidRPr="006757E3">
        <w:rPr>
          <w:color w:val="000000"/>
          <w:lang w:eastAsia="en-US"/>
        </w:rPr>
        <w:t xml:space="preserve"> </w:t>
      </w:r>
      <w:r w:rsidR="00C8356D">
        <w:rPr>
          <w:color w:val="000000"/>
          <w:lang w:eastAsia="en-US"/>
        </w:rPr>
        <w:t>sitting alongside and tailoring the DPA 2018 and can be seen as</w:t>
      </w:r>
      <w:r w:rsidRPr="006757E3">
        <w:rPr>
          <w:color w:val="000000"/>
          <w:lang w:eastAsia="en-US"/>
        </w:rPr>
        <w:t xml:space="preserve"> an evolution in data protection legislation rather than a revolution. </w:t>
      </w:r>
    </w:p>
    <w:p w14:paraId="703FD732" w14:textId="77777777" w:rsidR="005B7E82" w:rsidRDefault="006757E3" w:rsidP="006757E3">
      <w:pPr>
        <w:spacing w:after="200" w:line="300" w:lineRule="exact"/>
        <w:rPr>
          <w:color w:val="000000"/>
          <w:lang w:eastAsia="en-US"/>
        </w:rPr>
      </w:pPr>
      <w:r w:rsidRPr="006757E3">
        <w:rPr>
          <w:color w:val="000000"/>
          <w:lang w:eastAsia="en-US"/>
        </w:rPr>
        <w:t xml:space="preserve">All processing of personal information – meaning all aspects of the collection, use and sharing of personal information about identifiable individuals – must have a lawful basis </w:t>
      </w:r>
      <w:r w:rsidR="00C8356D">
        <w:rPr>
          <w:color w:val="000000"/>
          <w:lang w:eastAsia="en-US"/>
        </w:rPr>
        <w:t>as defined by</w:t>
      </w:r>
      <w:r w:rsidRPr="006757E3">
        <w:rPr>
          <w:color w:val="000000"/>
          <w:lang w:eastAsia="en-US"/>
        </w:rPr>
        <w:t xml:space="preserve"> the </w:t>
      </w:r>
      <w:r w:rsidR="00C8356D">
        <w:rPr>
          <w:color w:val="000000"/>
          <w:lang w:eastAsia="en-US"/>
        </w:rPr>
        <w:t>UK GDPR to remain lawful under the DPA 2018</w:t>
      </w:r>
      <w:r w:rsidRPr="006757E3">
        <w:rPr>
          <w:color w:val="000000"/>
          <w:lang w:eastAsia="en-US"/>
        </w:rPr>
        <w:t xml:space="preserve">. </w:t>
      </w:r>
    </w:p>
    <w:p w14:paraId="6F0076EA" w14:textId="2F74F832" w:rsidR="006757E3" w:rsidRPr="006757E3" w:rsidRDefault="00C8356D" w:rsidP="006757E3">
      <w:pPr>
        <w:spacing w:after="200" w:line="300" w:lineRule="exact"/>
        <w:rPr>
          <w:b/>
          <w:color w:val="000000"/>
          <w:lang w:eastAsia="en-US"/>
        </w:rPr>
      </w:pPr>
      <w:r>
        <w:rPr>
          <w:b/>
          <w:color w:val="000000"/>
          <w:lang w:eastAsia="en-US"/>
        </w:rPr>
        <w:t>Data Protection Legislation</w:t>
      </w:r>
      <w:r w:rsidR="006757E3" w:rsidRPr="006757E3">
        <w:rPr>
          <w:b/>
          <w:color w:val="000000"/>
          <w:lang w:eastAsia="en-US"/>
        </w:rPr>
        <w:t xml:space="preserve"> and vaccinations</w:t>
      </w:r>
    </w:p>
    <w:p w14:paraId="7FDEE145" w14:textId="77777777" w:rsidR="006757E3" w:rsidRPr="006757E3" w:rsidRDefault="006757E3" w:rsidP="006757E3">
      <w:pPr>
        <w:spacing w:after="200" w:line="300" w:lineRule="exact"/>
        <w:rPr>
          <w:color w:val="000000"/>
          <w:lang w:eastAsia="en-US"/>
        </w:rPr>
      </w:pPr>
      <w:r w:rsidRPr="006757E3">
        <w:rPr>
          <w:color w:val="000000"/>
          <w:lang w:eastAsia="en-US"/>
        </w:rPr>
        <w:t xml:space="preserve">The Secretary of State for Health &amp; Social Care is required by the Health &amp; Social Care Act 2012 to take steps to protect the public from disease, including by providing vaccination services. This specific responsibility is fulfilled by NHS England, which works with Local Authorities to vaccinate children and young people in schools. </w:t>
      </w:r>
    </w:p>
    <w:p w14:paraId="2475146C" w14:textId="3C64540D" w:rsidR="006757E3" w:rsidRPr="006757E3" w:rsidRDefault="006757E3" w:rsidP="006757E3">
      <w:pPr>
        <w:spacing w:after="200" w:line="300" w:lineRule="exact"/>
        <w:rPr>
          <w:color w:val="000000"/>
          <w:lang w:eastAsia="en-US"/>
        </w:rPr>
      </w:pPr>
      <w:r w:rsidRPr="006757E3">
        <w:rPr>
          <w:color w:val="000000"/>
          <w:lang w:eastAsia="en-US"/>
        </w:rPr>
        <w:lastRenderedPageBreak/>
        <w:t xml:space="preserve">This legal duty means that the lawful basis for using and sharing young people’s personal information for vaccinations is provided by the </w:t>
      </w:r>
      <w:r w:rsidR="00C8356D">
        <w:rPr>
          <w:color w:val="000000"/>
          <w:lang w:eastAsia="en-US"/>
        </w:rPr>
        <w:t>UK GDPR</w:t>
      </w:r>
      <w:r w:rsidRPr="006757E3">
        <w:rPr>
          <w:color w:val="000000"/>
          <w:lang w:eastAsia="en-US"/>
        </w:rPr>
        <w:t xml:space="preserve"> Articles covering the exercise of official authority</w:t>
      </w:r>
      <w:r w:rsidRPr="006757E3">
        <w:rPr>
          <w:color w:val="000000"/>
          <w:vertAlign w:val="superscript"/>
          <w:lang w:eastAsia="en-US"/>
        </w:rPr>
        <w:footnoteReference w:id="2"/>
      </w:r>
      <w:r w:rsidRPr="006757E3">
        <w:rPr>
          <w:color w:val="000000"/>
          <w:lang w:eastAsia="en-US"/>
        </w:rPr>
        <w:t>, provision of healthcare</w:t>
      </w:r>
      <w:r w:rsidRPr="006757E3">
        <w:rPr>
          <w:color w:val="000000"/>
          <w:vertAlign w:val="superscript"/>
          <w:lang w:eastAsia="en-US"/>
        </w:rPr>
        <w:footnoteReference w:id="3"/>
      </w:r>
      <w:r w:rsidRPr="006757E3">
        <w:rPr>
          <w:color w:val="000000"/>
          <w:lang w:eastAsia="en-US"/>
        </w:rPr>
        <w:t xml:space="preserve"> and public interest </w:t>
      </w:r>
      <w:proofErr w:type="gramStart"/>
      <w:r w:rsidRPr="006757E3">
        <w:rPr>
          <w:color w:val="000000"/>
          <w:lang w:eastAsia="en-US"/>
        </w:rPr>
        <w:t>in the area of</w:t>
      </w:r>
      <w:proofErr w:type="gramEnd"/>
      <w:r w:rsidRPr="006757E3">
        <w:rPr>
          <w:color w:val="000000"/>
          <w:lang w:eastAsia="en-US"/>
        </w:rPr>
        <w:t xml:space="preserve"> public health</w:t>
      </w:r>
      <w:r w:rsidRPr="006757E3">
        <w:rPr>
          <w:color w:val="000000"/>
          <w:vertAlign w:val="superscript"/>
          <w:lang w:eastAsia="en-US"/>
        </w:rPr>
        <w:footnoteReference w:id="4"/>
      </w:r>
      <w:r w:rsidRPr="006757E3">
        <w:rPr>
          <w:color w:val="000000"/>
          <w:lang w:eastAsia="en-US"/>
        </w:rPr>
        <w:t xml:space="preserve">. </w:t>
      </w:r>
    </w:p>
    <w:p w14:paraId="3A9D2C8E" w14:textId="6FF93F8D" w:rsidR="006757E3" w:rsidRPr="006757E3" w:rsidRDefault="006757E3" w:rsidP="006757E3">
      <w:pPr>
        <w:spacing w:after="200" w:line="300" w:lineRule="exact"/>
        <w:rPr>
          <w:color w:val="000000"/>
          <w:lang w:eastAsia="en-US"/>
        </w:rPr>
      </w:pPr>
      <w:r w:rsidRPr="006757E3">
        <w:rPr>
          <w:color w:val="000000"/>
          <w:lang w:eastAsia="en-US"/>
        </w:rPr>
        <w:t xml:space="preserve">Consent is </w:t>
      </w:r>
      <w:r w:rsidRPr="006757E3">
        <w:rPr>
          <w:color w:val="000000"/>
          <w:u w:val="single"/>
          <w:lang w:eastAsia="en-US"/>
        </w:rPr>
        <w:t>not</w:t>
      </w:r>
      <w:r w:rsidRPr="006757E3">
        <w:rPr>
          <w:color w:val="000000"/>
          <w:lang w:eastAsia="en-US"/>
        </w:rPr>
        <w:t xml:space="preserve"> the lawful basis under the </w:t>
      </w:r>
      <w:r w:rsidR="00C8356D">
        <w:rPr>
          <w:color w:val="000000"/>
          <w:lang w:eastAsia="en-US"/>
        </w:rPr>
        <w:t>UK GDPR</w:t>
      </w:r>
      <w:r w:rsidRPr="006757E3">
        <w:rPr>
          <w:color w:val="000000"/>
          <w:lang w:eastAsia="en-US"/>
        </w:rPr>
        <w:t xml:space="preserve"> for processing children’s personal information for the purpose of vaccinations. </w:t>
      </w:r>
    </w:p>
    <w:p w14:paraId="3AC31BB4" w14:textId="77777777" w:rsidR="006757E3" w:rsidRPr="006757E3" w:rsidRDefault="006757E3" w:rsidP="006757E3">
      <w:pPr>
        <w:spacing w:after="200" w:line="300" w:lineRule="exact"/>
        <w:rPr>
          <w:b/>
          <w:color w:val="000000"/>
          <w:lang w:eastAsia="en-US"/>
        </w:rPr>
      </w:pPr>
      <w:r w:rsidRPr="006757E3">
        <w:rPr>
          <w:b/>
          <w:color w:val="000000"/>
          <w:lang w:eastAsia="en-US"/>
        </w:rPr>
        <w:t>Agreement to be vaccinated</w:t>
      </w:r>
    </w:p>
    <w:p w14:paraId="6A0A933E" w14:textId="1BF89E65" w:rsidR="006757E3" w:rsidRPr="006757E3" w:rsidRDefault="006757E3" w:rsidP="006757E3">
      <w:pPr>
        <w:spacing w:after="200" w:line="300" w:lineRule="exact"/>
        <w:rPr>
          <w:color w:val="000000"/>
          <w:lang w:eastAsia="en-US"/>
        </w:rPr>
      </w:pPr>
      <w:r w:rsidRPr="006757E3">
        <w:rPr>
          <w:color w:val="000000"/>
          <w:lang w:eastAsia="en-US"/>
        </w:rPr>
        <w:t xml:space="preserve">The legal duty to provide vaccinations means that schools do </w:t>
      </w:r>
      <w:r w:rsidRPr="006757E3">
        <w:rPr>
          <w:color w:val="000000"/>
          <w:u w:val="single"/>
          <w:lang w:eastAsia="en-US"/>
        </w:rPr>
        <w:t>not</w:t>
      </w:r>
      <w:r w:rsidRPr="006757E3">
        <w:rPr>
          <w:color w:val="000000"/>
          <w:lang w:eastAsia="en-US"/>
        </w:rPr>
        <w:t xml:space="preserve"> have to obtain the prior consent of children or their parents or guardians to lawfully </w:t>
      </w:r>
      <w:r w:rsidRPr="005B7E82">
        <w:rPr>
          <w:color w:val="000000"/>
          <w:u w:val="single"/>
          <w:lang w:eastAsia="en-US"/>
        </w:rPr>
        <w:t>share</w:t>
      </w:r>
      <w:r w:rsidRPr="006757E3">
        <w:rPr>
          <w:color w:val="000000"/>
          <w:lang w:eastAsia="en-US"/>
        </w:rPr>
        <w:t xml:space="preserve"> personal information from school rolls with school</w:t>
      </w:r>
      <w:r w:rsidR="00587304">
        <w:rPr>
          <w:color w:val="000000"/>
          <w:lang w:eastAsia="en-US"/>
        </w:rPr>
        <w:t xml:space="preserve"> aged immunisation</w:t>
      </w:r>
      <w:r w:rsidRPr="006757E3">
        <w:rPr>
          <w:color w:val="000000"/>
          <w:lang w:eastAsia="en-US"/>
        </w:rPr>
        <w:t xml:space="preserve"> services for this purpose. </w:t>
      </w:r>
    </w:p>
    <w:p w14:paraId="32BF9CF9" w14:textId="4CB0F965" w:rsidR="006757E3" w:rsidRPr="006757E3" w:rsidRDefault="006757E3" w:rsidP="006757E3">
      <w:pPr>
        <w:spacing w:after="200" w:line="300" w:lineRule="exact"/>
        <w:rPr>
          <w:color w:val="000000"/>
          <w:lang w:eastAsia="en-US"/>
        </w:rPr>
      </w:pPr>
      <w:r w:rsidRPr="006757E3">
        <w:rPr>
          <w:color w:val="000000"/>
          <w:lang w:eastAsia="en-US"/>
        </w:rPr>
        <w:t>However, guidance from</w:t>
      </w:r>
      <w:r>
        <w:rPr>
          <w:color w:val="000000"/>
          <w:lang w:eastAsia="en-US"/>
        </w:rPr>
        <w:t xml:space="preserve"> the UK Health Security Agency (UKHSA)</w:t>
      </w:r>
      <w:r w:rsidRPr="006757E3">
        <w:rPr>
          <w:color w:val="000000"/>
          <w:vertAlign w:val="superscript"/>
          <w:lang w:eastAsia="en-US"/>
        </w:rPr>
        <w:footnoteReference w:id="5"/>
      </w:r>
      <w:r w:rsidRPr="006757E3">
        <w:rPr>
          <w:color w:val="000000"/>
          <w:lang w:eastAsia="en-US"/>
        </w:rPr>
        <w:t>on the administration of vaccines states that the agreement either of parents, persons with parental responsibility or a young person considered by a healthcare professional to be competent to give or withhold their agreement (known as ‘Gillick-competent’) must still be obtained before a vaccine is administered. This agreement can be given verbally or in writing</w:t>
      </w:r>
      <w:r w:rsidR="008A1823">
        <w:rPr>
          <w:color w:val="000000"/>
          <w:lang w:eastAsia="en-US"/>
        </w:rPr>
        <w:t>.</w:t>
      </w:r>
    </w:p>
    <w:p w14:paraId="7BF5C210" w14:textId="3CDB456C" w:rsidR="006757E3" w:rsidRPr="006757E3" w:rsidRDefault="006757E3" w:rsidP="006757E3">
      <w:pPr>
        <w:spacing w:after="200" w:line="300" w:lineRule="exact"/>
        <w:rPr>
          <w:color w:val="000000"/>
          <w:lang w:eastAsia="en-US"/>
        </w:rPr>
      </w:pPr>
      <w:r w:rsidRPr="006757E3">
        <w:rPr>
          <w:b/>
          <w:color w:val="000000"/>
          <w:lang w:eastAsia="en-US"/>
        </w:rPr>
        <w:t>No change</w:t>
      </w:r>
      <w:r w:rsidRPr="006757E3">
        <w:rPr>
          <w:color w:val="000000"/>
          <w:lang w:eastAsia="en-US"/>
        </w:rPr>
        <w:t xml:space="preserve"> is required from previous years to the way in which this agreement is obtained. Schools should continue to work with the school </w:t>
      </w:r>
      <w:r>
        <w:rPr>
          <w:color w:val="000000"/>
          <w:lang w:eastAsia="en-US"/>
        </w:rPr>
        <w:t>aged immunisation</w:t>
      </w:r>
      <w:r w:rsidRPr="006757E3">
        <w:rPr>
          <w:color w:val="000000"/>
          <w:lang w:eastAsia="en-US"/>
        </w:rPr>
        <w:t xml:space="preserve"> service providing vaccinations, and follow the guidance published by </w:t>
      </w:r>
      <w:r>
        <w:rPr>
          <w:color w:val="000000"/>
          <w:lang w:eastAsia="en-US"/>
        </w:rPr>
        <w:t>UKHSA</w:t>
      </w:r>
      <w:r w:rsidRPr="006757E3">
        <w:rPr>
          <w:color w:val="000000"/>
          <w:lang w:eastAsia="en-US"/>
        </w:rPr>
        <w:t xml:space="preserve">. </w:t>
      </w:r>
    </w:p>
    <w:p w14:paraId="1E22D634" w14:textId="77777777" w:rsidR="006757E3" w:rsidRPr="006757E3" w:rsidRDefault="006757E3" w:rsidP="006757E3">
      <w:pPr>
        <w:spacing w:after="200" w:line="300" w:lineRule="exact"/>
        <w:rPr>
          <w:b/>
          <w:color w:val="000000"/>
          <w:lang w:eastAsia="en-US"/>
        </w:rPr>
      </w:pPr>
      <w:r w:rsidRPr="006757E3">
        <w:rPr>
          <w:b/>
          <w:color w:val="000000"/>
          <w:lang w:eastAsia="en-US"/>
        </w:rPr>
        <w:t>Vaccination information for young people</w:t>
      </w:r>
    </w:p>
    <w:p w14:paraId="39803C11" w14:textId="0CF8815E" w:rsidR="006757E3" w:rsidRPr="006757E3" w:rsidRDefault="006757E3" w:rsidP="006757E3">
      <w:pPr>
        <w:spacing w:after="200" w:line="300" w:lineRule="exact"/>
        <w:rPr>
          <w:color w:val="000000"/>
          <w:lang w:eastAsia="en-US"/>
        </w:rPr>
      </w:pPr>
      <w:r w:rsidRPr="006757E3">
        <w:rPr>
          <w:color w:val="000000"/>
          <w:lang w:eastAsia="en-US"/>
        </w:rPr>
        <w:t xml:space="preserve">A range of promotional materials explaining vaccination to young people have been published by </w:t>
      </w:r>
      <w:r>
        <w:rPr>
          <w:color w:val="000000"/>
          <w:lang w:eastAsia="en-US"/>
        </w:rPr>
        <w:t>UKHSA</w:t>
      </w:r>
      <w:r w:rsidRPr="006757E3">
        <w:rPr>
          <w:color w:val="000000"/>
          <w:vertAlign w:val="superscript"/>
          <w:lang w:eastAsia="en-US"/>
        </w:rPr>
        <w:footnoteReference w:id="6"/>
      </w:r>
      <w:r w:rsidRPr="006757E3">
        <w:rPr>
          <w:color w:val="000000"/>
          <w:vertAlign w:val="superscript"/>
          <w:lang w:eastAsia="en-US"/>
        </w:rPr>
        <w:t>,</w:t>
      </w:r>
      <w:r w:rsidRPr="006757E3">
        <w:rPr>
          <w:color w:val="000000"/>
          <w:vertAlign w:val="superscript"/>
          <w:lang w:eastAsia="en-US"/>
        </w:rPr>
        <w:footnoteReference w:id="7"/>
      </w:r>
      <w:r w:rsidRPr="006757E3">
        <w:rPr>
          <w:color w:val="000000"/>
          <w:lang w:eastAsia="en-US"/>
        </w:rPr>
        <w:t xml:space="preserve">. </w:t>
      </w:r>
    </w:p>
    <w:p w14:paraId="54F5E3F1" w14:textId="77777777" w:rsidR="006757E3" w:rsidRDefault="006757E3" w:rsidP="006757E3">
      <w:pPr>
        <w:spacing w:after="200" w:line="300" w:lineRule="exact"/>
        <w:rPr>
          <w:b/>
          <w:color w:val="000000"/>
          <w:u w:val="single"/>
          <w:lang w:eastAsia="en-US"/>
        </w:rPr>
      </w:pPr>
    </w:p>
    <w:p w14:paraId="5A416EFE" w14:textId="77777777" w:rsidR="006757E3" w:rsidRDefault="006757E3" w:rsidP="006757E3">
      <w:pPr>
        <w:spacing w:after="200" w:line="300" w:lineRule="exact"/>
        <w:rPr>
          <w:b/>
          <w:color w:val="000000"/>
          <w:u w:val="single"/>
          <w:lang w:eastAsia="en-US"/>
        </w:rPr>
      </w:pPr>
    </w:p>
    <w:p w14:paraId="7F1DC9D9" w14:textId="77777777" w:rsidR="005B7E82" w:rsidRDefault="005B7E82" w:rsidP="006757E3">
      <w:pPr>
        <w:spacing w:after="200" w:line="300" w:lineRule="exact"/>
        <w:rPr>
          <w:b/>
          <w:color w:val="000000"/>
          <w:u w:val="single"/>
          <w:lang w:eastAsia="en-US"/>
        </w:rPr>
      </w:pPr>
    </w:p>
    <w:p w14:paraId="7FA18710" w14:textId="77777777" w:rsidR="005B7E82" w:rsidRDefault="005B7E82" w:rsidP="006757E3">
      <w:pPr>
        <w:spacing w:after="200" w:line="300" w:lineRule="exact"/>
        <w:rPr>
          <w:b/>
          <w:color w:val="000000"/>
          <w:u w:val="single"/>
          <w:lang w:eastAsia="en-US"/>
        </w:rPr>
      </w:pPr>
    </w:p>
    <w:p w14:paraId="078D3457" w14:textId="34D58D7B" w:rsidR="006757E3" w:rsidRPr="005B7E82" w:rsidRDefault="006757E3" w:rsidP="006757E3">
      <w:pPr>
        <w:spacing w:after="200" w:line="300" w:lineRule="exact"/>
        <w:rPr>
          <w:b/>
          <w:color w:val="000000"/>
          <w:lang w:eastAsia="en-US"/>
        </w:rPr>
      </w:pPr>
      <w:r w:rsidRPr="005B7E82">
        <w:rPr>
          <w:b/>
          <w:color w:val="000000"/>
          <w:lang w:eastAsia="en-US"/>
        </w:rPr>
        <w:t>Summary</w:t>
      </w:r>
    </w:p>
    <w:p w14:paraId="4F1DB11E" w14:textId="4807F357" w:rsidR="006757E3" w:rsidRPr="006757E3" w:rsidRDefault="006757E3" w:rsidP="006757E3">
      <w:pPr>
        <w:spacing w:after="200" w:line="300" w:lineRule="exact"/>
        <w:rPr>
          <w:color w:val="000000"/>
          <w:lang w:eastAsia="en-US"/>
        </w:rPr>
      </w:pPr>
      <w:r w:rsidRPr="006757E3">
        <w:rPr>
          <w:b/>
          <w:color w:val="000000"/>
          <w:lang w:eastAsia="en-US"/>
        </w:rPr>
        <w:t>No change</w:t>
      </w:r>
      <w:r w:rsidRPr="006757E3">
        <w:rPr>
          <w:color w:val="000000"/>
          <w:lang w:eastAsia="en-US"/>
        </w:rPr>
        <w:t xml:space="preserve"> is needed to the current ways in which young people’s personal information is used and shared by schools with school nursing services for the purpose of providing vaccinations for this to be lawful under the </w:t>
      </w:r>
      <w:r w:rsidR="00C8356D">
        <w:rPr>
          <w:color w:val="000000"/>
          <w:lang w:eastAsia="en-US"/>
        </w:rPr>
        <w:t>UK Data Protection Legislation</w:t>
      </w:r>
      <w:r w:rsidRPr="006757E3">
        <w:rPr>
          <w:color w:val="000000"/>
          <w:lang w:eastAsia="en-US"/>
        </w:rPr>
        <w:t xml:space="preserve">. </w:t>
      </w:r>
    </w:p>
    <w:p w14:paraId="412098A0" w14:textId="07041042" w:rsidR="006757E3" w:rsidRPr="006757E3" w:rsidRDefault="006757E3" w:rsidP="006757E3">
      <w:pPr>
        <w:spacing w:after="200" w:line="300" w:lineRule="exact"/>
        <w:rPr>
          <w:color w:val="000000"/>
          <w:lang w:eastAsia="en-US"/>
        </w:rPr>
      </w:pPr>
      <w:r w:rsidRPr="006757E3">
        <w:rPr>
          <w:color w:val="000000"/>
          <w:lang w:eastAsia="en-US"/>
        </w:rPr>
        <w:t xml:space="preserve">The lawful basis under the </w:t>
      </w:r>
      <w:r w:rsidR="00C8356D">
        <w:rPr>
          <w:color w:val="000000"/>
          <w:lang w:eastAsia="en-US"/>
        </w:rPr>
        <w:t>UK GDPR</w:t>
      </w:r>
      <w:r w:rsidRPr="006757E3">
        <w:rPr>
          <w:color w:val="000000"/>
          <w:lang w:eastAsia="en-US"/>
        </w:rPr>
        <w:t xml:space="preserve"> for children’s personal information to be used and shared for vaccination is </w:t>
      </w:r>
      <w:r w:rsidRPr="006757E3">
        <w:rPr>
          <w:color w:val="000000"/>
          <w:u w:val="single"/>
          <w:lang w:eastAsia="en-US"/>
        </w:rPr>
        <w:t>not</w:t>
      </w:r>
      <w:r w:rsidRPr="006757E3">
        <w:rPr>
          <w:color w:val="000000"/>
          <w:lang w:eastAsia="en-US"/>
        </w:rPr>
        <w:t xml:space="preserve"> provided by consent – it is provided by the </w:t>
      </w:r>
      <w:r w:rsidR="00C8356D">
        <w:rPr>
          <w:color w:val="000000"/>
          <w:lang w:eastAsia="en-US"/>
        </w:rPr>
        <w:t>UK GDPR</w:t>
      </w:r>
      <w:r w:rsidRPr="006757E3">
        <w:rPr>
          <w:color w:val="000000"/>
          <w:lang w:eastAsia="en-US"/>
        </w:rPr>
        <w:t xml:space="preserve"> Articles </w:t>
      </w:r>
      <w:r w:rsidRPr="006757E3">
        <w:rPr>
          <w:color w:val="000000"/>
          <w:lang w:eastAsia="en-US"/>
        </w:rPr>
        <w:lastRenderedPageBreak/>
        <w:t xml:space="preserve">covering the exercise of official authority, provision of healthcare and public interest </w:t>
      </w:r>
      <w:proofErr w:type="gramStart"/>
      <w:r w:rsidRPr="006757E3">
        <w:rPr>
          <w:color w:val="000000"/>
          <w:lang w:eastAsia="en-US"/>
        </w:rPr>
        <w:t>in the area of</w:t>
      </w:r>
      <w:proofErr w:type="gramEnd"/>
      <w:r w:rsidRPr="006757E3">
        <w:rPr>
          <w:color w:val="000000"/>
          <w:lang w:eastAsia="en-US"/>
        </w:rPr>
        <w:t xml:space="preserve"> public health. </w:t>
      </w:r>
    </w:p>
    <w:p w14:paraId="1A8C0BF7" w14:textId="77777777" w:rsidR="006757E3" w:rsidRPr="006757E3" w:rsidRDefault="006757E3" w:rsidP="006757E3">
      <w:pPr>
        <w:spacing w:after="200" w:line="300" w:lineRule="exact"/>
        <w:rPr>
          <w:color w:val="000000"/>
          <w:lang w:eastAsia="en-US"/>
        </w:rPr>
      </w:pPr>
      <w:r w:rsidRPr="006757E3">
        <w:rPr>
          <w:color w:val="000000"/>
          <w:lang w:eastAsia="en-US"/>
        </w:rPr>
        <w:t xml:space="preserve">However, the agreement either of parents, persons with parental responsibility or a Gillick-competent young person must still be obtained before any vaccine is administered. </w:t>
      </w:r>
    </w:p>
    <w:p w14:paraId="09B3D468" w14:textId="77777777" w:rsidR="006757E3" w:rsidRPr="006757E3" w:rsidRDefault="006757E3" w:rsidP="006757E3">
      <w:pPr>
        <w:spacing w:after="200" w:line="300" w:lineRule="exact"/>
        <w:rPr>
          <w:b/>
          <w:color w:val="000000"/>
          <w:lang w:eastAsia="en-US"/>
        </w:rPr>
      </w:pPr>
      <w:r w:rsidRPr="006757E3">
        <w:rPr>
          <w:b/>
          <w:color w:val="000000"/>
          <w:lang w:eastAsia="en-US"/>
        </w:rPr>
        <w:t>Further information</w:t>
      </w:r>
    </w:p>
    <w:p w14:paraId="52E84CCE" w14:textId="4FF013A5" w:rsidR="006757E3" w:rsidRDefault="006757E3" w:rsidP="006757E3">
      <w:pPr>
        <w:spacing w:after="200" w:line="300" w:lineRule="exact"/>
        <w:rPr>
          <w:color w:val="000000"/>
          <w:lang w:eastAsia="en-US"/>
        </w:rPr>
      </w:pPr>
      <w:r w:rsidRPr="006757E3">
        <w:rPr>
          <w:color w:val="000000"/>
          <w:lang w:eastAsia="en-US"/>
        </w:rPr>
        <w:t xml:space="preserve">Any questions regarding this advice can be directed to </w:t>
      </w:r>
      <w:hyperlink r:id="rId10" w:history="1">
        <w:r w:rsidR="00966BA5" w:rsidRPr="007919D0">
          <w:rPr>
            <w:rStyle w:val="Hyperlink"/>
            <w:lang w:eastAsia="en-US"/>
          </w:rPr>
          <w:t>england.phadmin@nhs.net</w:t>
        </w:r>
      </w:hyperlink>
    </w:p>
    <w:p w14:paraId="003BD99C" w14:textId="77777777" w:rsidR="00966BA5" w:rsidRPr="006757E3" w:rsidRDefault="00966BA5" w:rsidP="006757E3">
      <w:pPr>
        <w:spacing w:after="200" w:line="300" w:lineRule="exact"/>
        <w:rPr>
          <w:color w:val="000000"/>
          <w:lang w:eastAsia="en-US"/>
        </w:rPr>
      </w:pPr>
    </w:p>
    <w:p w14:paraId="34D76F6D" w14:textId="77777777" w:rsidR="006757E3" w:rsidRPr="006757E3" w:rsidRDefault="006757E3" w:rsidP="006757E3">
      <w:pPr>
        <w:spacing w:after="200" w:line="300" w:lineRule="exact"/>
        <w:rPr>
          <w:color w:val="000000"/>
          <w:lang w:eastAsia="en-US"/>
        </w:rPr>
      </w:pPr>
      <w:r w:rsidRPr="006757E3">
        <w:rPr>
          <w:color w:val="000000"/>
          <w:lang w:eastAsia="en-US"/>
        </w:rPr>
        <w:t>Yours faithfully,</w:t>
      </w:r>
    </w:p>
    <w:p w14:paraId="528169D8" w14:textId="54860CB4" w:rsidR="0057662F" w:rsidRDefault="0057662F" w:rsidP="00AD2F73"/>
    <w:p w14:paraId="35A24B41" w14:textId="2E2DCBBD" w:rsidR="006757E3" w:rsidRDefault="006757E3" w:rsidP="00AD2F73"/>
    <w:p w14:paraId="2DEDE44F" w14:textId="1A5C6B97" w:rsidR="006757E3" w:rsidRDefault="006757E3" w:rsidP="00AD2F73"/>
    <w:sectPr w:rsidR="006757E3" w:rsidSect="00A974B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93" w:right="1021" w:bottom="1134" w:left="1021" w:header="81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8307" w14:textId="77777777" w:rsidR="00DF1B29" w:rsidRDefault="00DF1B29" w:rsidP="00AD2F73">
      <w:r>
        <w:separator/>
      </w:r>
    </w:p>
  </w:endnote>
  <w:endnote w:type="continuationSeparator" w:id="0">
    <w:p w14:paraId="66F32970" w14:textId="77777777" w:rsidR="00DF1B29" w:rsidRDefault="00DF1B29"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D4E2" w14:textId="77777777" w:rsidR="002461A4" w:rsidRDefault="0024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EED8" w14:textId="77777777" w:rsidR="006A115E" w:rsidRPr="006A115E" w:rsidRDefault="006A115E"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9949AE">
      <w:rPr>
        <w:noProof/>
        <w:sz w:val="20"/>
        <w:szCs w:val="20"/>
      </w:rPr>
      <w:t>2</w:t>
    </w:r>
    <w:r w:rsidRPr="005E4A5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BDF5" w14:textId="77777777" w:rsidR="005E4A5D" w:rsidRPr="005E4A5D" w:rsidRDefault="005E4A5D"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357B33">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B33" w14:textId="77777777" w:rsidR="00DF1B29" w:rsidRDefault="00DF1B29" w:rsidP="00AD2F73">
      <w:r>
        <w:separator/>
      </w:r>
    </w:p>
  </w:footnote>
  <w:footnote w:type="continuationSeparator" w:id="0">
    <w:p w14:paraId="4B15C6B6" w14:textId="77777777" w:rsidR="00DF1B29" w:rsidRDefault="00DF1B29" w:rsidP="00AD2F73">
      <w:r>
        <w:continuationSeparator/>
      </w:r>
    </w:p>
  </w:footnote>
  <w:footnote w:id="1">
    <w:p w14:paraId="47DA745A" w14:textId="40DA0680" w:rsidR="006757E3" w:rsidRPr="004027DA" w:rsidRDefault="006757E3" w:rsidP="006757E3">
      <w:pPr>
        <w:pStyle w:val="FootnoteText"/>
        <w:rPr>
          <w:rFonts w:cs="Arial"/>
          <w:sz w:val="22"/>
          <w:szCs w:val="22"/>
        </w:rPr>
      </w:pPr>
      <w:r w:rsidRPr="004027DA">
        <w:rPr>
          <w:rStyle w:val="FootnoteReference"/>
          <w:rFonts w:cs="Arial"/>
          <w:sz w:val="22"/>
          <w:szCs w:val="22"/>
        </w:rPr>
        <w:footnoteRef/>
      </w:r>
      <w:r w:rsidRPr="004027DA">
        <w:rPr>
          <w:rFonts w:cs="Arial"/>
          <w:sz w:val="22"/>
          <w:szCs w:val="22"/>
        </w:rPr>
        <w:t xml:space="preserve"> For further information on the </w:t>
      </w:r>
      <w:r w:rsidR="00C8356D">
        <w:rPr>
          <w:rFonts w:cs="Arial"/>
          <w:sz w:val="22"/>
          <w:szCs w:val="22"/>
        </w:rPr>
        <w:t>UK GDPR</w:t>
      </w:r>
      <w:r w:rsidRPr="004027DA">
        <w:rPr>
          <w:rFonts w:cs="Arial"/>
          <w:sz w:val="22"/>
          <w:szCs w:val="22"/>
        </w:rPr>
        <w:t xml:space="preserve"> can be found on the Information Commissioner’s Office website: </w:t>
      </w:r>
      <w:hyperlink r:id="rId1" w:history="1">
        <w:r w:rsidRPr="004027DA">
          <w:rPr>
            <w:rStyle w:val="Hyperlink"/>
            <w:rFonts w:cs="Arial"/>
            <w:sz w:val="22"/>
            <w:szCs w:val="22"/>
          </w:rPr>
          <w:t>https://ico.org.uk/for-organisations/guide-to-the-general-data-protection-regulation-</w:t>
        </w:r>
        <w:r w:rsidR="00C8356D">
          <w:rPr>
            <w:rStyle w:val="Hyperlink"/>
            <w:rFonts w:cs="Arial"/>
            <w:sz w:val="22"/>
            <w:szCs w:val="22"/>
          </w:rPr>
          <w:t>UK GDPR</w:t>
        </w:r>
      </w:hyperlink>
      <w:r w:rsidRPr="004027DA">
        <w:rPr>
          <w:rFonts w:cs="Arial"/>
          <w:sz w:val="22"/>
          <w:szCs w:val="22"/>
        </w:rPr>
        <w:t xml:space="preserve"> </w:t>
      </w:r>
    </w:p>
  </w:footnote>
  <w:footnote w:id="2">
    <w:p w14:paraId="188BE35F" w14:textId="07382E67" w:rsidR="006757E3" w:rsidRPr="00AC7294" w:rsidRDefault="006757E3" w:rsidP="006757E3">
      <w:pPr>
        <w:spacing w:line="300" w:lineRule="exact"/>
        <w:rPr>
          <w:color w:val="000000"/>
          <w:sz w:val="22"/>
          <w:szCs w:val="22"/>
        </w:rPr>
      </w:pPr>
      <w:r w:rsidRPr="00AC7294">
        <w:rPr>
          <w:rStyle w:val="FootnoteReference"/>
          <w:sz w:val="22"/>
          <w:szCs w:val="22"/>
        </w:rPr>
        <w:footnoteRef/>
      </w:r>
      <w:r w:rsidRPr="00AC7294">
        <w:rPr>
          <w:sz w:val="22"/>
          <w:szCs w:val="22"/>
        </w:rPr>
        <w:t xml:space="preserve"> </w:t>
      </w:r>
      <w:r w:rsidR="00C8356D">
        <w:rPr>
          <w:color w:val="000000"/>
          <w:sz w:val="22"/>
          <w:szCs w:val="22"/>
        </w:rPr>
        <w:t>UK GDPR</w:t>
      </w:r>
      <w:r w:rsidRPr="00AC7294">
        <w:rPr>
          <w:color w:val="000000"/>
          <w:sz w:val="22"/>
          <w:szCs w:val="22"/>
        </w:rPr>
        <w:t xml:space="preserve"> Article 6(1)(e) - processing is necessary for the performance of a task carried out in the public interest or in the exercise of official authority</w:t>
      </w:r>
    </w:p>
  </w:footnote>
  <w:footnote w:id="3">
    <w:p w14:paraId="499E61AB" w14:textId="1158C6FD" w:rsidR="006757E3" w:rsidRPr="00AC7294" w:rsidRDefault="006757E3" w:rsidP="006757E3">
      <w:pPr>
        <w:spacing w:line="300" w:lineRule="exact"/>
        <w:rPr>
          <w:color w:val="000000"/>
          <w:sz w:val="22"/>
          <w:szCs w:val="22"/>
        </w:rPr>
      </w:pPr>
      <w:r w:rsidRPr="00AC7294">
        <w:rPr>
          <w:rStyle w:val="FootnoteReference"/>
          <w:sz w:val="22"/>
          <w:szCs w:val="22"/>
        </w:rPr>
        <w:footnoteRef/>
      </w:r>
      <w:r w:rsidRPr="00AC7294">
        <w:rPr>
          <w:sz w:val="22"/>
          <w:szCs w:val="22"/>
        </w:rPr>
        <w:t xml:space="preserve"> </w:t>
      </w:r>
      <w:r w:rsidR="00C8356D">
        <w:rPr>
          <w:color w:val="000000"/>
          <w:sz w:val="22"/>
          <w:szCs w:val="22"/>
        </w:rPr>
        <w:t>UK GDPR</w:t>
      </w:r>
      <w:r w:rsidRPr="00AC7294">
        <w:rPr>
          <w:color w:val="000000"/>
          <w:sz w:val="22"/>
          <w:szCs w:val="22"/>
        </w:rPr>
        <w:t xml:space="preserve"> Article 9(2)(h) - processing is necessary for medical diagnosis, the provision of health or social care or treatment or the management of health or social care systems</w:t>
      </w:r>
    </w:p>
  </w:footnote>
  <w:footnote w:id="4">
    <w:p w14:paraId="5C15B2C3" w14:textId="15D699C6" w:rsidR="006757E3" w:rsidRPr="00AC7294" w:rsidRDefault="006757E3" w:rsidP="006757E3">
      <w:pPr>
        <w:spacing w:line="300" w:lineRule="exact"/>
        <w:rPr>
          <w:color w:val="000000"/>
          <w:sz w:val="22"/>
          <w:szCs w:val="22"/>
        </w:rPr>
      </w:pPr>
      <w:r w:rsidRPr="00AC7294">
        <w:rPr>
          <w:rStyle w:val="FootnoteReference"/>
          <w:sz w:val="22"/>
          <w:szCs w:val="22"/>
        </w:rPr>
        <w:footnoteRef/>
      </w:r>
      <w:r w:rsidRPr="00AC7294">
        <w:rPr>
          <w:sz w:val="22"/>
          <w:szCs w:val="22"/>
        </w:rPr>
        <w:t xml:space="preserve"> </w:t>
      </w:r>
      <w:r w:rsidR="00C8356D">
        <w:rPr>
          <w:color w:val="000000"/>
          <w:sz w:val="22"/>
          <w:szCs w:val="22"/>
        </w:rPr>
        <w:t>UK GDPR</w:t>
      </w:r>
      <w:r w:rsidRPr="00AC7294">
        <w:rPr>
          <w:color w:val="000000"/>
          <w:sz w:val="22"/>
          <w:szCs w:val="22"/>
        </w:rPr>
        <w:t xml:space="preserve"> Article 9(2)(</w:t>
      </w:r>
      <w:proofErr w:type="spellStart"/>
      <w:r w:rsidRPr="00AC7294">
        <w:rPr>
          <w:color w:val="000000"/>
          <w:sz w:val="22"/>
          <w:szCs w:val="22"/>
        </w:rPr>
        <w:t>i</w:t>
      </w:r>
      <w:proofErr w:type="spellEnd"/>
      <w:r w:rsidRPr="00AC7294">
        <w:rPr>
          <w:color w:val="000000"/>
          <w:sz w:val="22"/>
          <w:szCs w:val="22"/>
        </w:rPr>
        <w:t xml:space="preserve">) - processing is necessary for reasons of public interest </w:t>
      </w:r>
      <w:proofErr w:type="gramStart"/>
      <w:r w:rsidRPr="00AC7294">
        <w:rPr>
          <w:color w:val="000000"/>
          <w:sz w:val="22"/>
          <w:szCs w:val="22"/>
        </w:rPr>
        <w:t>in the area of</w:t>
      </w:r>
      <w:proofErr w:type="gramEnd"/>
      <w:r w:rsidRPr="00AC7294">
        <w:rPr>
          <w:color w:val="000000"/>
          <w:sz w:val="22"/>
          <w:szCs w:val="22"/>
        </w:rPr>
        <w:t xml:space="preserve"> public health</w:t>
      </w:r>
    </w:p>
  </w:footnote>
  <w:footnote w:id="5">
    <w:p w14:paraId="4777D448" w14:textId="77777777" w:rsidR="006757E3" w:rsidRPr="00AC7294" w:rsidRDefault="006757E3" w:rsidP="006757E3">
      <w:pPr>
        <w:pStyle w:val="FootnoteText"/>
        <w:rPr>
          <w:rFonts w:cs="Arial"/>
          <w:sz w:val="22"/>
          <w:szCs w:val="22"/>
        </w:rPr>
      </w:pPr>
      <w:r w:rsidRPr="00AC7294">
        <w:rPr>
          <w:rStyle w:val="FootnoteReference"/>
          <w:rFonts w:cs="Arial"/>
          <w:sz w:val="22"/>
          <w:szCs w:val="22"/>
        </w:rPr>
        <w:footnoteRef/>
      </w:r>
      <w:r w:rsidRPr="00AC7294">
        <w:rPr>
          <w:rFonts w:cs="Arial"/>
          <w:sz w:val="22"/>
          <w:szCs w:val="22"/>
        </w:rPr>
        <w:t xml:space="preserve"> </w:t>
      </w:r>
      <w:hyperlink r:id="rId2" w:history="1">
        <w:r w:rsidRPr="00AC7294">
          <w:rPr>
            <w:rStyle w:val="Hyperlink"/>
            <w:rFonts w:cs="Arial"/>
            <w:sz w:val="22"/>
            <w:szCs w:val="22"/>
          </w:rPr>
          <w:t>https://www.gov.uk/government/collections/immunisation</w:t>
        </w:r>
      </w:hyperlink>
      <w:r w:rsidRPr="00AC7294">
        <w:rPr>
          <w:rFonts w:cs="Arial"/>
          <w:sz w:val="22"/>
          <w:szCs w:val="22"/>
        </w:rPr>
        <w:t xml:space="preserve"> </w:t>
      </w:r>
    </w:p>
  </w:footnote>
  <w:footnote w:id="6">
    <w:p w14:paraId="5B17A825" w14:textId="77777777" w:rsidR="006757E3" w:rsidRPr="00AC7294" w:rsidRDefault="006757E3" w:rsidP="006757E3">
      <w:pPr>
        <w:pStyle w:val="FootnoteText"/>
        <w:rPr>
          <w:rFonts w:cs="Arial"/>
          <w:sz w:val="22"/>
          <w:szCs w:val="22"/>
        </w:rPr>
      </w:pPr>
      <w:r w:rsidRPr="00AC7294">
        <w:rPr>
          <w:rStyle w:val="FootnoteReference"/>
          <w:rFonts w:cs="Arial"/>
          <w:sz w:val="22"/>
          <w:szCs w:val="22"/>
        </w:rPr>
        <w:footnoteRef/>
      </w:r>
      <w:r w:rsidRPr="00AC7294">
        <w:rPr>
          <w:rFonts w:cs="Arial"/>
          <w:sz w:val="22"/>
          <w:szCs w:val="22"/>
        </w:rPr>
        <w:t xml:space="preserve"> </w:t>
      </w:r>
      <w:hyperlink r:id="rId3" w:history="1">
        <w:r w:rsidRPr="00AC7294">
          <w:rPr>
            <w:rStyle w:val="Hyperlink"/>
            <w:rFonts w:cs="Arial"/>
            <w:sz w:val="22"/>
            <w:szCs w:val="22"/>
          </w:rPr>
          <w:t>https://www.gov.uk/government/publications/immunisations-for-young-people</w:t>
        </w:r>
      </w:hyperlink>
      <w:r w:rsidRPr="00AC7294">
        <w:rPr>
          <w:rFonts w:cs="Arial"/>
          <w:sz w:val="22"/>
          <w:szCs w:val="22"/>
        </w:rPr>
        <w:t xml:space="preserve"> </w:t>
      </w:r>
    </w:p>
  </w:footnote>
  <w:footnote w:id="7">
    <w:p w14:paraId="359A730D" w14:textId="77777777" w:rsidR="006757E3" w:rsidRPr="00AC7294" w:rsidRDefault="006757E3" w:rsidP="006757E3">
      <w:pPr>
        <w:pStyle w:val="FootnoteText"/>
        <w:rPr>
          <w:rFonts w:cs="Arial"/>
          <w:sz w:val="22"/>
          <w:szCs w:val="22"/>
        </w:rPr>
      </w:pPr>
      <w:r w:rsidRPr="00AC7294">
        <w:rPr>
          <w:rStyle w:val="FootnoteReference"/>
          <w:rFonts w:cs="Arial"/>
          <w:sz w:val="22"/>
          <w:szCs w:val="22"/>
        </w:rPr>
        <w:footnoteRef/>
      </w:r>
      <w:r w:rsidRPr="00AC7294">
        <w:rPr>
          <w:rFonts w:cs="Arial"/>
          <w:sz w:val="22"/>
          <w:szCs w:val="22"/>
        </w:rPr>
        <w:t xml:space="preserve"> </w:t>
      </w:r>
      <w:hyperlink r:id="rId4" w:history="1">
        <w:r w:rsidRPr="00AC7294">
          <w:rPr>
            <w:rStyle w:val="Hyperlink"/>
            <w:rFonts w:cs="Arial"/>
            <w:sz w:val="22"/>
            <w:szCs w:val="22"/>
          </w:rPr>
          <w:t>https://www.gov.uk/government/publications/immunisations-resources-for-schools</w:t>
        </w:r>
      </w:hyperlink>
      <w:r w:rsidRPr="00AC7294">
        <w:rPr>
          <w:rFonts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5415" w14:textId="0586889D" w:rsidR="002461A4" w:rsidRDefault="0024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FCC5" w14:textId="1533AD61" w:rsidR="002461A4" w:rsidRDefault="0024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46F" w14:textId="501660A5" w:rsidR="007A42FE" w:rsidRDefault="00CF28B7" w:rsidP="00B230E3">
    <w:pPr>
      <w:spacing w:line="240" w:lineRule="atLeast"/>
      <w:ind w:left="-284"/>
    </w:pPr>
    <w:r>
      <w:rPr>
        <w:noProof/>
      </w:rPr>
      <w:drawing>
        <wp:anchor distT="0" distB="0" distL="114300" distR="114300" simplePos="0" relativeHeight="251665408" behindDoc="0" locked="0" layoutInCell="1" allowOverlap="1" wp14:anchorId="7F7C97FD" wp14:editId="67245CBC">
          <wp:simplePos x="0" y="0"/>
          <wp:positionH relativeFrom="margin">
            <wp:align>right</wp:align>
          </wp:positionH>
          <wp:positionV relativeFrom="paragraph">
            <wp:posOffset>5715</wp:posOffset>
          </wp:positionV>
          <wp:extent cx="1078865" cy="438785"/>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38785"/>
                  </a:xfrm>
                  <a:prstGeom prst="rect">
                    <a:avLst/>
                  </a:prstGeom>
                  <a:noFill/>
                </pic:spPr>
              </pic:pic>
            </a:graphicData>
          </a:graphic>
        </wp:anchor>
      </w:drawing>
    </w:r>
    <w:r w:rsidR="007A42FE">
      <w:rPr>
        <w:noProof/>
      </w:rPr>
      <w:drawing>
        <wp:inline distT="0" distB="0" distL="0" distR="0" wp14:anchorId="1C0F8108" wp14:editId="19D5D49E">
          <wp:extent cx="1295400" cy="1231900"/>
          <wp:effectExtent l="0" t="0" r="0" b="0"/>
          <wp:docPr id="30" name="Picture 30"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t xml:space="preserve">                                                                                                                              </w:t>
    </w:r>
  </w:p>
  <w:p w14:paraId="1600D59B" w14:textId="77777777" w:rsidR="0057662F" w:rsidRDefault="0057662F" w:rsidP="00AD2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E3"/>
    <w:rsid w:val="0001156B"/>
    <w:rsid w:val="0001276E"/>
    <w:rsid w:val="000742C2"/>
    <w:rsid w:val="00096FFC"/>
    <w:rsid w:val="000C4DC0"/>
    <w:rsid w:val="000C50FB"/>
    <w:rsid w:val="000D5B3F"/>
    <w:rsid w:val="000E193A"/>
    <w:rsid w:val="00101AB6"/>
    <w:rsid w:val="00151D61"/>
    <w:rsid w:val="00154084"/>
    <w:rsid w:val="0016255D"/>
    <w:rsid w:val="0019479C"/>
    <w:rsid w:val="001F6988"/>
    <w:rsid w:val="002111C8"/>
    <w:rsid w:val="00237976"/>
    <w:rsid w:val="002461A4"/>
    <w:rsid w:val="00247C54"/>
    <w:rsid w:val="00270D62"/>
    <w:rsid w:val="002A5CC2"/>
    <w:rsid w:val="002A610F"/>
    <w:rsid w:val="002A7394"/>
    <w:rsid w:val="002C2E25"/>
    <w:rsid w:val="00303D9F"/>
    <w:rsid w:val="00346601"/>
    <w:rsid w:val="00357B33"/>
    <w:rsid w:val="00364873"/>
    <w:rsid w:val="00371781"/>
    <w:rsid w:val="00394631"/>
    <w:rsid w:val="003A000A"/>
    <w:rsid w:val="003B3383"/>
    <w:rsid w:val="003F071F"/>
    <w:rsid w:val="003F66F5"/>
    <w:rsid w:val="00411FD9"/>
    <w:rsid w:val="00415F3E"/>
    <w:rsid w:val="00425B35"/>
    <w:rsid w:val="00426281"/>
    <w:rsid w:val="004B70A8"/>
    <w:rsid w:val="00517170"/>
    <w:rsid w:val="005342B6"/>
    <w:rsid w:val="005629A6"/>
    <w:rsid w:val="0057662F"/>
    <w:rsid w:val="00576873"/>
    <w:rsid w:val="00587304"/>
    <w:rsid w:val="005B0D4C"/>
    <w:rsid w:val="005B7E82"/>
    <w:rsid w:val="005C6114"/>
    <w:rsid w:val="005E4A5D"/>
    <w:rsid w:val="00636A73"/>
    <w:rsid w:val="0066498D"/>
    <w:rsid w:val="006757E3"/>
    <w:rsid w:val="00677382"/>
    <w:rsid w:val="006778CF"/>
    <w:rsid w:val="00696F5B"/>
    <w:rsid w:val="006A115E"/>
    <w:rsid w:val="006B1EEC"/>
    <w:rsid w:val="006B42FE"/>
    <w:rsid w:val="006D3FD0"/>
    <w:rsid w:val="00713811"/>
    <w:rsid w:val="007403F6"/>
    <w:rsid w:val="0075105C"/>
    <w:rsid w:val="00757153"/>
    <w:rsid w:val="00780F04"/>
    <w:rsid w:val="007A42FE"/>
    <w:rsid w:val="007C460C"/>
    <w:rsid w:val="007D6212"/>
    <w:rsid w:val="007E1EE0"/>
    <w:rsid w:val="007E5FEC"/>
    <w:rsid w:val="007E6EB2"/>
    <w:rsid w:val="00844C9D"/>
    <w:rsid w:val="00850E60"/>
    <w:rsid w:val="00862E82"/>
    <w:rsid w:val="00864BA5"/>
    <w:rsid w:val="00876CDF"/>
    <w:rsid w:val="00891799"/>
    <w:rsid w:val="00893C64"/>
    <w:rsid w:val="008A1823"/>
    <w:rsid w:val="008A34C2"/>
    <w:rsid w:val="008D6BA4"/>
    <w:rsid w:val="008F3AC3"/>
    <w:rsid w:val="00900854"/>
    <w:rsid w:val="00925D4B"/>
    <w:rsid w:val="00966BA5"/>
    <w:rsid w:val="009949AE"/>
    <w:rsid w:val="009D51E3"/>
    <w:rsid w:val="009F0B27"/>
    <w:rsid w:val="009F5F9C"/>
    <w:rsid w:val="00A053AE"/>
    <w:rsid w:val="00A15FF9"/>
    <w:rsid w:val="00A63655"/>
    <w:rsid w:val="00A91610"/>
    <w:rsid w:val="00A9319B"/>
    <w:rsid w:val="00A974B0"/>
    <w:rsid w:val="00AB7020"/>
    <w:rsid w:val="00AD2F73"/>
    <w:rsid w:val="00B230E3"/>
    <w:rsid w:val="00B359C6"/>
    <w:rsid w:val="00B75750"/>
    <w:rsid w:val="00B76657"/>
    <w:rsid w:val="00B826D8"/>
    <w:rsid w:val="00BE3227"/>
    <w:rsid w:val="00BF13D8"/>
    <w:rsid w:val="00BF28E3"/>
    <w:rsid w:val="00C04FC0"/>
    <w:rsid w:val="00C20E27"/>
    <w:rsid w:val="00C62D09"/>
    <w:rsid w:val="00C6305C"/>
    <w:rsid w:val="00C8356D"/>
    <w:rsid w:val="00C8448A"/>
    <w:rsid w:val="00CA7F05"/>
    <w:rsid w:val="00CB5966"/>
    <w:rsid w:val="00CB5ABF"/>
    <w:rsid w:val="00CD17CE"/>
    <w:rsid w:val="00CD39A5"/>
    <w:rsid w:val="00CF28B7"/>
    <w:rsid w:val="00D24ECB"/>
    <w:rsid w:val="00DF1B29"/>
    <w:rsid w:val="00DF797F"/>
    <w:rsid w:val="00E13E23"/>
    <w:rsid w:val="00E14D00"/>
    <w:rsid w:val="00E503DD"/>
    <w:rsid w:val="00E70004"/>
    <w:rsid w:val="00E7584C"/>
    <w:rsid w:val="00E7633A"/>
    <w:rsid w:val="00EB260A"/>
    <w:rsid w:val="00EB3E86"/>
    <w:rsid w:val="00F65D29"/>
    <w:rsid w:val="00F96F16"/>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4B71AC"/>
  <w15:docId w15:val="{C3F9207C-7FC9-43D5-B80F-A6A7C7B1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3"/>
    <w:pPr>
      <w:spacing w:line="320" w:lineRule="exact"/>
    </w:p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lang w:eastAsia="en-US"/>
    </w:rPr>
  </w:style>
  <w:style w:type="paragraph" w:styleId="FootnoteText">
    <w:name w:val="footnote text"/>
    <w:basedOn w:val="Normal"/>
    <w:link w:val="FootnoteTextChar"/>
    <w:uiPriority w:val="99"/>
    <w:semiHidden/>
    <w:unhideWhenUsed/>
    <w:rsid w:val="006757E3"/>
    <w:pPr>
      <w:spacing w:line="240" w:lineRule="auto"/>
    </w:pPr>
    <w:rPr>
      <w:sz w:val="20"/>
      <w:szCs w:val="20"/>
    </w:rPr>
  </w:style>
  <w:style w:type="character" w:customStyle="1" w:styleId="FootnoteTextChar">
    <w:name w:val="Footnote Text Char"/>
    <w:basedOn w:val="DefaultParagraphFont"/>
    <w:link w:val="FootnoteText"/>
    <w:uiPriority w:val="99"/>
    <w:semiHidden/>
    <w:rsid w:val="006757E3"/>
    <w:rPr>
      <w:sz w:val="20"/>
      <w:szCs w:val="20"/>
    </w:rPr>
  </w:style>
  <w:style w:type="character" w:styleId="Hyperlink">
    <w:name w:val="Hyperlink"/>
    <w:uiPriority w:val="99"/>
    <w:rsid w:val="006757E3"/>
    <w:rPr>
      <w:rFonts w:cs="Times New Roman"/>
      <w:color w:val="0000FF"/>
      <w:u w:val="single"/>
    </w:rPr>
  </w:style>
  <w:style w:type="character" w:styleId="FootnoteReference">
    <w:name w:val="footnote reference"/>
    <w:uiPriority w:val="99"/>
    <w:semiHidden/>
    <w:unhideWhenUsed/>
    <w:rsid w:val="006757E3"/>
    <w:rPr>
      <w:vertAlign w:val="superscript"/>
    </w:rPr>
  </w:style>
  <w:style w:type="character" w:styleId="CommentReference">
    <w:name w:val="annotation reference"/>
    <w:basedOn w:val="DefaultParagraphFont"/>
    <w:uiPriority w:val="99"/>
    <w:semiHidden/>
    <w:unhideWhenUsed/>
    <w:rsid w:val="00DF797F"/>
    <w:rPr>
      <w:sz w:val="16"/>
      <w:szCs w:val="16"/>
    </w:rPr>
  </w:style>
  <w:style w:type="paragraph" w:styleId="CommentText">
    <w:name w:val="annotation text"/>
    <w:basedOn w:val="Normal"/>
    <w:link w:val="CommentTextChar"/>
    <w:uiPriority w:val="99"/>
    <w:semiHidden/>
    <w:unhideWhenUsed/>
    <w:rsid w:val="00DF797F"/>
    <w:pPr>
      <w:spacing w:line="240" w:lineRule="auto"/>
    </w:pPr>
    <w:rPr>
      <w:sz w:val="20"/>
      <w:szCs w:val="20"/>
    </w:rPr>
  </w:style>
  <w:style w:type="character" w:customStyle="1" w:styleId="CommentTextChar">
    <w:name w:val="Comment Text Char"/>
    <w:basedOn w:val="DefaultParagraphFont"/>
    <w:link w:val="CommentText"/>
    <w:uiPriority w:val="99"/>
    <w:semiHidden/>
    <w:rsid w:val="00DF797F"/>
    <w:rPr>
      <w:sz w:val="20"/>
      <w:szCs w:val="20"/>
    </w:rPr>
  </w:style>
  <w:style w:type="paragraph" w:styleId="CommentSubject">
    <w:name w:val="annotation subject"/>
    <w:basedOn w:val="CommentText"/>
    <w:next w:val="CommentText"/>
    <w:link w:val="CommentSubjectChar"/>
    <w:uiPriority w:val="99"/>
    <w:semiHidden/>
    <w:unhideWhenUsed/>
    <w:rsid w:val="00DF797F"/>
    <w:rPr>
      <w:b/>
      <w:bCs/>
    </w:rPr>
  </w:style>
  <w:style w:type="character" w:customStyle="1" w:styleId="CommentSubjectChar">
    <w:name w:val="Comment Subject Char"/>
    <w:basedOn w:val="CommentTextChar"/>
    <w:link w:val="CommentSubject"/>
    <w:uiPriority w:val="99"/>
    <w:semiHidden/>
    <w:rsid w:val="00DF797F"/>
    <w:rPr>
      <w:b/>
      <w:bCs/>
      <w:sz w:val="20"/>
      <w:szCs w:val="20"/>
    </w:rPr>
  </w:style>
  <w:style w:type="character" w:styleId="FollowedHyperlink">
    <w:name w:val="FollowedHyperlink"/>
    <w:basedOn w:val="DefaultParagraphFont"/>
    <w:uiPriority w:val="99"/>
    <w:semiHidden/>
    <w:unhideWhenUsed/>
    <w:rsid w:val="00C8356D"/>
    <w:rPr>
      <w:color w:val="800080" w:themeColor="followedHyperlink"/>
      <w:u w:val="single"/>
    </w:rPr>
  </w:style>
  <w:style w:type="character" w:styleId="UnresolvedMention">
    <w:name w:val="Unresolved Mention"/>
    <w:basedOn w:val="DefaultParagraphFont"/>
    <w:uiPriority w:val="99"/>
    <w:semiHidden/>
    <w:unhideWhenUsed/>
    <w:rsid w:val="00966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ngland.phadmin@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mmunisations-for-young-people" TargetMode="External"/><Relationship Id="rId2" Type="http://schemas.openxmlformats.org/officeDocument/2006/relationships/hyperlink" Target="https://www.gov.uk/government/collections/immunisation" TargetMode="External"/><Relationship Id="rId1" Type="http://schemas.openxmlformats.org/officeDocument/2006/relationships/hyperlink" Target="https://ico.org.uk/for-organisations/guide-to-the-general-data-protection-regulation-gdpr" TargetMode="External"/><Relationship Id="rId4" Type="http://schemas.openxmlformats.org/officeDocument/2006/relationships/hyperlink" Target="https://www.gov.uk/government/publications/immunisations-resources-for-school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1.GRE\AppData\Local\Temp\ukhsa_plain_document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FA819-D0A0-4EA5-B0D8-D0667878F226}">
  <ds:schemaRefs>
    <ds:schemaRef ds:uri="http://schemas.openxmlformats.org/officeDocument/2006/bibliography"/>
  </ds:schemaRefs>
</ds:datastoreItem>
</file>

<file path=customXml/itemProps2.xml><?xml version="1.0" encoding="utf-8"?>
<ds:datastoreItem xmlns:ds="http://schemas.openxmlformats.org/officeDocument/2006/customXml" ds:itemID="{756E0DE6-1FE8-49DF-B9BD-444282780F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961F18-66DA-43F6-BEDA-4278CE6424C2}">
  <ds:schemaRefs>
    <ds:schemaRef ds:uri="http://schemas.microsoft.com/sharepoint/v3/contenttype/forms"/>
  </ds:schemaRefs>
</ds:datastoreItem>
</file>

<file path=customXml/itemProps4.xml><?xml version="1.0" encoding="utf-8"?>
<ds:datastoreItem xmlns:ds="http://schemas.openxmlformats.org/officeDocument/2006/customXml" ds:itemID="{63FA1F9B-DF60-4D1B-A756-E6C28277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ukhsa_plain_document_template-1</Template>
  <TotalTime>59</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David Green</dc:creator>
  <cp:lastModifiedBy>Holly Clark</cp:lastModifiedBy>
  <cp:revision>9</cp:revision>
  <cp:lastPrinted>2022-02-02T10:02:00Z</cp:lastPrinted>
  <dcterms:created xsi:type="dcterms:W3CDTF">2022-01-26T15:25:00Z</dcterms:created>
  <dcterms:modified xsi:type="dcterms:W3CDTF">2022-08-26T13:58:00Z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